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0A" w:rsidRPr="005A7D02" w:rsidRDefault="00162E0A" w:rsidP="00162E0A">
      <w:pPr>
        <w:rPr>
          <w:rFonts w:ascii="Times New Roman" w:hAnsi="Times New Roman" w:cs="Times New Roman"/>
          <w:b/>
          <w:sz w:val="24"/>
          <w:szCs w:val="24"/>
        </w:rPr>
      </w:pPr>
      <w:r w:rsidRPr="005A7D02">
        <w:rPr>
          <w:rFonts w:ascii="Times New Roman" w:hAnsi="Times New Roman" w:cs="Times New Roman"/>
          <w:sz w:val="24"/>
          <w:szCs w:val="24"/>
        </w:rPr>
        <w:t>PARTICIPATIVNÍ PŘÍPRAVA</w:t>
      </w:r>
      <w:r>
        <w:rPr>
          <w:rFonts w:ascii="Times New Roman" w:hAnsi="Times New Roman" w:cs="Times New Roman"/>
          <w:sz w:val="24"/>
          <w:szCs w:val="24"/>
        </w:rPr>
        <w:t xml:space="preserve"> A STRATEGIE: </w:t>
      </w:r>
      <w:r w:rsidRPr="00D36D8C">
        <w:rPr>
          <w:rFonts w:ascii="Times New Roman" w:hAnsi="Times New Roman" w:cs="Times New Roman"/>
          <w:b/>
          <w:sz w:val="24"/>
          <w:szCs w:val="24"/>
        </w:rPr>
        <w:t>velmi stručný</w:t>
      </w:r>
      <w:r>
        <w:rPr>
          <w:rFonts w:ascii="Times New Roman" w:hAnsi="Times New Roman" w:cs="Times New Roman"/>
          <w:sz w:val="24"/>
          <w:szCs w:val="24"/>
        </w:rPr>
        <w:t xml:space="preserve"> </w:t>
      </w:r>
      <w:r w:rsidRPr="006801E7">
        <w:rPr>
          <w:rFonts w:ascii="Times New Roman" w:hAnsi="Times New Roman" w:cs="Times New Roman"/>
          <w:b/>
          <w:sz w:val="24"/>
          <w:szCs w:val="24"/>
        </w:rPr>
        <w:t>odborný</w:t>
      </w:r>
      <w:r>
        <w:rPr>
          <w:rFonts w:ascii="Times New Roman" w:hAnsi="Times New Roman" w:cs="Times New Roman"/>
          <w:sz w:val="24"/>
          <w:szCs w:val="24"/>
        </w:rPr>
        <w:t xml:space="preserve"> </w:t>
      </w:r>
      <w:r>
        <w:rPr>
          <w:rFonts w:ascii="Times New Roman" w:hAnsi="Times New Roman" w:cs="Times New Roman"/>
          <w:b/>
          <w:sz w:val="24"/>
          <w:szCs w:val="24"/>
        </w:rPr>
        <w:t>nástin</w:t>
      </w:r>
    </w:p>
    <w:p w:rsidR="00162E0A" w:rsidRDefault="00162E0A" w:rsidP="00162E0A">
      <w:pPr>
        <w:pStyle w:val="Podnadpis"/>
        <w:spacing w:after="0" w:line="240" w:lineRule="auto"/>
        <w:rPr>
          <w:rFonts w:ascii="Times New Roman" w:hAnsi="Times New Roman" w:cs="Times New Roman"/>
          <w:sz w:val="24"/>
          <w:szCs w:val="24"/>
        </w:rPr>
      </w:pPr>
    </w:p>
    <w:p w:rsidR="00162E0A" w:rsidRPr="00911087" w:rsidRDefault="00162E0A" w:rsidP="00162E0A">
      <w:pPr>
        <w:pStyle w:val="Podnadpis"/>
        <w:spacing w:after="0" w:line="240" w:lineRule="auto"/>
        <w:rPr>
          <w:rFonts w:ascii="Times New Roman" w:hAnsi="Times New Roman" w:cs="Times New Roman"/>
          <w:b w:val="0"/>
          <w:sz w:val="22"/>
        </w:rPr>
      </w:pPr>
      <w:r w:rsidRPr="00911087">
        <w:rPr>
          <w:rFonts w:ascii="Times New Roman" w:hAnsi="Times New Roman" w:cs="Times New Roman"/>
          <w:sz w:val="22"/>
        </w:rPr>
        <w:t xml:space="preserve">Souhrn: </w:t>
      </w:r>
      <w:r w:rsidRPr="00911087">
        <w:rPr>
          <w:rFonts w:ascii="Times New Roman" w:hAnsi="Times New Roman" w:cs="Times New Roman"/>
          <w:b w:val="0"/>
          <w:sz w:val="22"/>
        </w:rPr>
        <w:t>Participativní příprava společenského rozhodnutí umožňuje od začátku spolupráci všech. Je nezaujatě koordinovaná a vede ke konsenzu nebo ke vzájemně porovnaným variantám návrhu. Strategie je rozhodnutí, jak dlouhodobě ošetřit celý komplexní problém. Zavedení participativní a strategické práce v ČR bylo odborně připraveno a doporučeno</w:t>
      </w:r>
    </w:p>
    <w:p w:rsidR="00162E0A" w:rsidRPr="00911087" w:rsidRDefault="00162E0A" w:rsidP="00162E0A">
      <w:pPr>
        <w:pStyle w:val="Podnadpis"/>
        <w:spacing w:after="0" w:line="240" w:lineRule="auto"/>
        <w:rPr>
          <w:rFonts w:ascii="Times New Roman" w:hAnsi="Times New Roman" w:cs="Times New Roman"/>
          <w:b w:val="0"/>
          <w:sz w:val="22"/>
        </w:rPr>
      </w:pPr>
    </w:p>
    <w:p w:rsidR="00162E0A" w:rsidRPr="00911087" w:rsidRDefault="00162E0A" w:rsidP="00162E0A">
      <w:pPr>
        <w:pStyle w:val="Podnadpis"/>
        <w:spacing w:after="0" w:line="240" w:lineRule="auto"/>
        <w:rPr>
          <w:rFonts w:ascii="Times New Roman" w:hAnsi="Times New Roman" w:cs="Times New Roman"/>
          <w:b w:val="0"/>
          <w:sz w:val="22"/>
        </w:rPr>
      </w:pPr>
      <w:r w:rsidRPr="00911087">
        <w:rPr>
          <w:rFonts w:ascii="Times New Roman" w:hAnsi="Times New Roman" w:cs="Times New Roman"/>
          <w:sz w:val="22"/>
        </w:rPr>
        <w:t>Participativní příprava</w:t>
      </w:r>
      <w:r w:rsidRPr="00911087">
        <w:rPr>
          <w:rFonts w:ascii="Times New Roman" w:hAnsi="Times New Roman" w:cs="Times New Roman"/>
          <w:b w:val="0"/>
          <w:sz w:val="22"/>
        </w:rPr>
        <w:t xml:space="preserve"> společenského rozhodnutí</w:t>
      </w:r>
      <w:r w:rsidRPr="00911087">
        <w:rPr>
          <w:rFonts w:ascii="Times New Roman" w:hAnsi="Times New Roman" w:cs="Times New Roman"/>
          <w:sz w:val="22"/>
        </w:rPr>
        <w:t xml:space="preserve"> </w:t>
      </w:r>
      <w:r w:rsidRPr="00911087">
        <w:rPr>
          <w:rFonts w:ascii="Times New Roman" w:hAnsi="Times New Roman" w:cs="Times New Roman"/>
          <w:b w:val="0"/>
          <w:sz w:val="22"/>
        </w:rPr>
        <w:t xml:space="preserve">vede k podkladu pro rozhodnutí, který je co možná integrovaný s jinými rozhodnutími, konsenzuální nebo v porovnaných variantách, vytvořený od samého začátku práce s efektivní účastí všech zájemců včetně opozice a NNO, integrovaný co možná s krajskou a komunální úrovní, s verifikovatelnými akcemi, s dopady včetně nákladů nebo alespoň s jejich profesionálními odhady, prokazatelně nezaujatě připravený, užívající znalostí nejlepších dosažitelných odborníků, zahrnující závěry činnosti veřejné správy, reflektující mimo jiné pozici současného vedení společnosti, co možná odolný proti rizikům, porovnaný s porovnatelnými zahraničními podklady, beroucí v úvahu budoucí potenciální změny vnějších vlivů a budoucí průběh dopadů, zahrnující deterministické nebo probabilistické předpovědi, označující vlastní nedostatky, připravovaný v participativních krocích, obsahující nulovou variantu a vhodný jako podklad pro potřebná rozhodnutí </w:t>
      </w:r>
    </w:p>
    <w:p w:rsidR="00162E0A" w:rsidRPr="00911087" w:rsidRDefault="00162E0A" w:rsidP="00162E0A">
      <w:pPr>
        <w:pStyle w:val="Podnadpis"/>
        <w:spacing w:after="0" w:line="240" w:lineRule="auto"/>
        <w:jc w:val="center"/>
        <w:rPr>
          <w:rFonts w:ascii="Times New Roman" w:hAnsi="Times New Roman" w:cs="Times New Roman"/>
          <w:b w:val="0"/>
          <w:sz w:val="22"/>
        </w:rPr>
      </w:pPr>
    </w:p>
    <w:p w:rsidR="00162E0A" w:rsidRPr="00911087" w:rsidRDefault="00162E0A" w:rsidP="00162E0A">
      <w:pPr>
        <w:spacing w:after="0" w:line="240" w:lineRule="auto"/>
        <w:rPr>
          <w:rFonts w:ascii="Times New Roman" w:hAnsi="Times New Roman" w:cs="Times New Roman"/>
        </w:rPr>
      </w:pPr>
      <w:r w:rsidRPr="00911087">
        <w:rPr>
          <w:rFonts w:ascii="Times New Roman" w:hAnsi="Times New Roman" w:cs="Times New Roman"/>
        </w:rPr>
        <w:t xml:space="preserve">K uvedenému souhrnu lze připojit tyto </w:t>
      </w:r>
      <w:r w:rsidRPr="00911087">
        <w:rPr>
          <w:rFonts w:ascii="Times New Roman" w:hAnsi="Times New Roman" w:cs="Times New Roman"/>
          <w:b/>
        </w:rPr>
        <w:t>poznámky</w:t>
      </w:r>
      <w:r w:rsidRPr="00911087">
        <w:rPr>
          <w:rFonts w:ascii="Times New Roman" w:hAnsi="Times New Roman" w:cs="Times New Roman"/>
        </w:rPr>
        <w:t xml:space="preserve">: Příklady rizik jsou korupce, činnost kmotrů, změna ministra nebo vlády,  změna politického zaměření, odklad zahájení nebo předložení. Proces přípravy je nutně založen na metodice, explicitně zahrnující participaci. Tato metodika je také strategií a trvale se rozvíjí. Přístup </w:t>
      </w:r>
      <w:proofErr w:type="spellStart"/>
      <w:r w:rsidRPr="00911087">
        <w:rPr>
          <w:rFonts w:ascii="Times New Roman" w:hAnsi="Times New Roman" w:cs="Times New Roman"/>
        </w:rPr>
        <w:t>neiterferuje</w:t>
      </w:r>
      <w:proofErr w:type="spellEnd"/>
      <w:r w:rsidRPr="00911087">
        <w:rPr>
          <w:rFonts w:ascii="Times New Roman" w:hAnsi="Times New Roman" w:cs="Times New Roman"/>
        </w:rPr>
        <w:t xml:space="preserve"> s přijímáním rozhodnutí. Hlavními zdroji informací jsou prezenční spolupráce a sítě. Přístup se nehodí  pro jednoduchá rozhodnutí, krizové situace, problémy podle zákona utajené, boj o moc ani pro improvizaci. Nulová varianta ošetřuje případ, že se rozhodnutí nepřijme nebo je odloženo. Absence participativní přípravy v demokratických společnostech má v poslední době negativní dopad. I u nás vedla k rozsáhlým škodám.</w:t>
      </w:r>
    </w:p>
    <w:p w:rsidR="00162E0A" w:rsidRPr="00911087" w:rsidRDefault="00162E0A" w:rsidP="00162E0A">
      <w:pPr>
        <w:spacing w:after="0" w:line="240" w:lineRule="auto"/>
        <w:rPr>
          <w:rFonts w:ascii="Times New Roman" w:hAnsi="Times New Roman" w:cs="Times New Roman"/>
        </w:rPr>
      </w:pPr>
    </w:p>
    <w:p w:rsidR="00162E0A" w:rsidRPr="00911087" w:rsidRDefault="00162E0A" w:rsidP="00162E0A">
      <w:pPr>
        <w:spacing w:after="0" w:line="240" w:lineRule="auto"/>
        <w:rPr>
          <w:rFonts w:ascii="Times New Roman" w:hAnsi="Times New Roman" w:cs="Times New Roman"/>
        </w:rPr>
      </w:pPr>
      <w:r w:rsidRPr="00911087">
        <w:rPr>
          <w:rFonts w:ascii="Times New Roman" w:hAnsi="Times New Roman" w:cs="Times New Roman"/>
        </w:rPr>
        <w:t xml:space="preserve">Uvedená </w:t>
      </w:r>
      <w:r w:rsidRPr="00911087">
        <w:rPr>
          <w:rFonts w:ascii="Times New Roman" w:hAnsi="Times New Roman" w:cs="Times New Roman"/>
          <w:b/>
        </w:rPr>
        <w:t>metodika</w:t>
      </w:r>
      <w:r w:rsidRPr="00911087">
        <w:rPr>
          <w:rFonts w:ascii="Times New Roman" w:hAnsi="Times New Roman" w:cs="Times New Roman"/>
        </w:rPr>
        <w:t xml:space="preserve"> participativní přípravy společenských rozhodnutí, podrobně dokumentovaná, užívá zahraničních zkušeností, podstatně upravených pro domácí situaci. Zpracovává i metodiku participativní strategické práce, která je zvláště obtížná a silně souvisí s participací. Podobně existují podrobné metodiky přípravy podkladů pro některá jiná zásadní rozhodnutí. Nezabývají se participací v uvedeném smyslu, ale již zpracovaly podrobně podklady pro svůj proces rozhodování. Bylo navrženo je spojit s participativním přístupem. </w:t>
      </w:r>
    </w:p>
    <w:p w:rsidR="00162E0A" w:rsidRPr="00911087" w:rsidRDefault="00162E0A" w:rsidP="00162E0A">
      <w:pPr>
        <w:spacing w:after="0" w:line="240" w:lineRule="auto"/>
        <w:rPr>
          <w:rFonts w:ascii="Times New Roman" w:hAnsi="Times New Roman" w:cs="Times New Roman"/>
        </w:rPr>
      </w:pPr>
    </w:p>
    <w:p w:rsidR="00162E0A" w:rsidRPr="00911087" w:rsidRDefault="00162E0A" w:rsidP="00162E0A">
      <w:pPr>
        <w:pStyle w:val="Podnadpis"/>
        <w:spacing w:after="0" w:line="240" w:lineRule="auto"/>
        <w:rPr>
          <w:rFonts w:ascii="Times New Roman" w:hAnsi="Times New Roman" w:cs="Times New Roman"/>
          <w:b w:val="0"/>
          <w:sz w:val="22"/>
        </w:rPr>
      </w:pPr>
      <w:r w:rsidRPr="00911087">
        <w:rPr>
          <w:rFonts w:ascii="Times New Roman" w:hAnsi="Times New Roman" w:cs="Times New Roman"/>
          <w:sz w:val="22"/>
        </w:rPr>
        <w:t>Strategie</w:t>
      </w:r>
      <w:r w:rsidRPr="00911087">
        <w:rPr>
          <w:rFonts w:ascii="Times New Roman" w:hAnsi="Times New Roman" w:cs="Times New Roman"/>
          <w:b w:val="0"/>
          <w:sz w:val="22"/>
        </w:rPr>
        <w:t xml:space="preserve"> je rozhodnutí, jak krátkodobě i dlouhodobě ošetřit významný komplexní problém.. Participativně připravený podklad k rozhodnutí zahrnuje  v každé porovnané variantě i tyto informace: Vize, to  jest ošetření a odůvodnění návrhu v obecné rovině; popis a analýza situace; cíle; předpověď průběhu externích proměnných; adresní akce, které se mají podniknout na začátku přípravy rozhodnutí a v situacích, jež by mohly později vzniknout; předpověď dopadů akcí za různých stavů externích proměnných; souvislost s jinými rozhodnutími a jinými relevantními skutečnostmi. Pro každý strategický systém, například strategie jedné vlády, existuje proces instruktáže, koordinace a integrace strategií.</w:t>
      </w:r>
    </w:p>
    <w:p w:rsidR="00162E0A" w:rsidRPr="00911087" w:rsidRDefault="00162E0A" w:rsidP="00162E0A">
      <w:pPr>
        <w:pStyle w:val="Podnadpis"/>
        <w:spacing w:after="0" w:line="240" w:lineRule="auto"/>
        <w:rPr>
          <w:rFonts w:ascii="Times New Roman" w:hAnsi="Times New Roman" w:cs="Times New Roman"/>
          <w:b w:val="0"/>
          <w:sz w:val="22"/>
        </w:rPr>
      </w:pPr>
    </w:p>
    <w:p w:rsidR="00AA4FEE" w:rsidRDefault="00162E0A" w:rsidP="00162E0A">
      <w:r w:rsidRPr="00911087">
        <w:rPr>
          <w:rFonts w:ascii="Times New Roman" w:hAnsi="Times New Roman" w:cs="Times New Roman"/>
        </w:rPr>
        <w:t>Návrh připravili domácí a za</w:t>
      </w:r>
      <w:r>
        <w:rPr>
          <w:rFonts w:ascii="Times New Roman" w:hAnsi="Times New Roman" w:cs="Times New Roman"/>
        </w:rPr>
        <w:t xml:space="preserve">hraniční odborníci a podpořili </w:t>
      </w:r>
      <w:r w:rsidRPr="00911087">
        <w:rPr>
          <w:rFonts w:ascii="Times New Roman" w:hAnsi="Times New Roman" w:cs="Times New Roman"/>
        </w:rPr>
        <w:t xml:space="preserve">nositelé nejvyšších funkcí v ČR. Bylo doporučeno urychleně zavést participativní přístup pro celonárodní strategie a potom i </w:t>
      </w:r>
      <w:proofErr w:type="spellStart"/>
      <w:r w:rsidRPr="00911087">
        <w:rPr>
          <w:rFonts w:ascii="Times New Roman" w:hAnsi="Times New Roman" w:cs="Times New Roman"/>
        </w:rPr>
        <w:t>šířeji</w:t>
      </w:r>
      <w:proofErr w:type="spellEnd"/>
      <w:r w:rsidRPr="00911087">
        <w:rPr>
          <w:rFonts w:ascii="Times New Roman" w:hAnsi="Times New Roman" w:cs="Times New Roman"/>
        </w:rPr>
        <w:t>. Je nutné zahájit i uvedené spojení metodik; a výchovu občanů i spolupracovníků.  Zkušenost</w:t>
      </w:r>
      <w:r>
        <w:rPr>
          <w:rFonts w:ascii="Times New Roman" w:hAnsi="Times New Roman" w:cs="Times New Roman"/>
        </w:rPr>
        <w:t xml:space="preserve"> občanů, že jejich participace </w:t>
      </w:r>
      <w:r w:rsidRPr="00911087">
        <w:rPr>
          <w:rFonts w:ascii="Times New Roman" w:hAnsi="Times New Roman" w:cs="Times New Roman"/>
        </w:rPr>
        <w:t>má vliv, pomáhá omezit současný růst nedůvěry v demokratické zřízení a snížit společenský i pracovní konflikt.</w:t>
      </w:r>
    </w:p>
    <w:sectPr w:rsidR="00AA4FEE" w:rsidSect="00E91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2E0A"/>
    <w:rsid w:val="00162E0A"/>
    <w:rsid w:val="001A3C66"/>
    <w:rsid w:val="00733854"/>
    <w:rsid w:val="00824984"/>
    <w:rsid w:val="00CA4F6C"/>
    <w:rsid w:val="00E91662"/>
    <w:rsid w:val="00F72E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E0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
    <w:name w:val="Podnadpis"/>
    <w:basedOn w:val="Normln"/>
    <w:link w:val="PodnadpisChar"/>
    <w:qFormat/>
    <w:rsid w:val="00162E0A"/>
    <w:rPr>
      <w:rFonts w:ascii="Century" w:hAnsi="Century"/>
      <w:b/>
      <w:sz w:val="28"/>
    </w:rPr>
  </w:style>
  <w:style w:type="character" w:customStyle="1" w:styleId="PodnadpisChar">
    <w:name w:val="Podnadpis Char"/>
    <w:basedOn w:val="Standardnpsmoodstavce"/>
    <w:link w:val="Podnadpis"/>
    <w:rsid w:val="00162E0A"/>
    <w:rPr>
      <w:rFonts w:ascii="Century" w:hAnsi="Century"/>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3254</Characters>
  <Application>Microsoft Office Word</Application>
  <DocSecurity>0</DocSecurity>
  <Lines>27</Lines>
  <Paragraphs>7</Paragraphs>
  <ScaleCrop>false</ScaleCrop>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Meddla</dc:creator>
  <cp:lastModifiedBy>Meddla</cp:lastModifiedBy>
  <cp:revision>1</cp:revision>
  <dcterms:created xsi:type="dcterms:W3CDTF">2014-03-05T12:26:00Z</dcterms:created>
  <dcterms:modified xsi:type="dcterms:W3CDTF">2014-03-05T12:26:00Z</dcterms:modified>
</cp:coreProperties>
</file>